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1045</w:t>
              <w:br/>
              <w:t xml:space="preserve">"Об утверждении федерального государственного образовательного стандарта высшего образования по специальности 31.08.03 Токсикология (уровень подготовки кадров высшей квалификации)"</w:t>
              <w:br/>
              <w:t xml:space="preserve">(Зарегистрировано в Минюсте России 28.10.2014 N 34486)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28 октября 2014 г. N 34486</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1045</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31.08.03 ТОКСИКОЛОГИЯ</w:t>
      </w:r>
    </w:p>
    <w:p>
      <w:pPr>
        <w:pStyle w:val="2"/>
        <w:jc w:val="center"/>
      </w:pPr>
      <w:r>
        <w:rPr>
          <w:sz w:val="24"/>
        </w:rPr>
        <w:t xml:space="preserve">(УРОВЕНЬ ПОДГОТОВКИ КАДРОВ 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31.08.03 Токсикология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1045</w:t>
      </w:r>
    </w:p>
    <w:p>
      <w:pPr>
        <w:pStyle w:val="0"/>
        <w:jc w:val="both"/>
      </w:pPr>
      <w:r>
        <w:rPr>
          <w:sz w:val="24"/>
        </w:rPr>
      </w:r>
    </w:p>
    <w:bookmarkStart w:id="31" w:name="P31"/>
    <w:bookmarkEnd w:id="31"/>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31.08.03 ТОКСИКОЛОГИЯ</w:t>
      </w:r>
    </w:p>
    <w:p>
      <w:pPr>
        <w:pStyle w:val="0"/>
        <w:jc w:val="both"/>
      </w:pPr>
      <w:r>
        <w:rPr>
          <w:sz w:val="24"/>
        </w:rPr>
      </w:r>
    </w:p>
    <w:p>
      <w:pPr>
        <w:pStyle w:val="0"/>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31.08.03 Токсикология (далее соответственно - программа ординатуры, специальность).</w:t>
      </w:r>
    </w:p>
    <w:p>
      <w:pPr>
        <w:pStyle w:val="0"/>
        <w:jc w:val="both"/>
      </w:pPr>
      <w:r>
        <w:rPr>
          <w:sz w:val="24"/>
        </w:rPr>
      </w:r>
    </w:p>
    <w:p>
      <w:pPr>
        <w:pStyle w:val="0"/>
        <w:outlineLvl w:val="1"/>
        <w:jc w:val="center"/>
      </w:pPr>
      <w:r>
        <w:rPr>
          <w:sz w:val="24"/>
        </w:rPr>
        <w:t xml:space="preserve">II. ИСПОЛЬЗУЕМЫЕ СОКРАЩЕНИЯ</w:t>
      </w:r>
    </w:p>
    <w:p>
      <w:pPr>
        <w:pStyle w:val="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both"/>
      </w:pPr>
      <w:r>
        <w:rPr>
          <w:sz w:val="24"/>
        </w:rPr>
      </w:r>
    </w:p>
    <w:p>
      <w:pPr>
        <w:pStyle w:val="0"/>
        <w:outlineLvl w:val="1"/>
        <w:jc w:val="center"/>
      </w:pPr>
      <w:r>
        <w:rPr>
          <w:sz w:val="24"/>
        </w:rPr>
        <w:t xml:space="preserve">III. ХАРАКТЕРИСТИКА СПЕЦИАЛЬНОСТИ</w:t>
      </w:r>
    </w:p>
    <w:p>
      <w:pPr>
        <w:pStyle w:val="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классификацией</w:t>
        </w:r>
      </w:hyperlink>
      <w:r>
        <w:rPr>
          <w:sz w:val="24"/>
        </w:rPr>
        <w:t xml:space="preserve">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с заболеваниями, вызванными токсическим воздействием химических веществ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4"/>
        </w:rPr>
      </w:r>
    </w:p>
    <w:p>
      <w:pPr>
        <w:pStyle w:val="0"/>
        <w:outlineLvl w:val="1"/>
        <w:jc w:val="center"/>
      </w:pPr>
      <w:r>
        <w:rPr>
          <w:sz w:val="24"/>
        </w:rPr>
        <w:t xml:space="preserve">VI. ТРЕБОВАНИЯ К СТРУКТУРЕ ПРОГРАММЫ ОРДИНАТУРЫ</w:t>
      </w:r>
    </w:p>
    <w:p>
      <w:pPr>
        <w:pStyle w:val="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относящийся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"Врач-токсиколог".</w:t>
      </w:r>
    </w:p>
    <w:p>
      <w:pPr>
        <w:pStyle w:val="0"/>
        <w:jc w:val="both"/>
      </w:pPr>
      <w:r>
        <w:rPr>
          <w:sz w:val="24"/>
        </w:rPr>
      </w:r>
    </w:p>
    <w:p>
      <w:pPr>
        <w:pStyle w:val="0"/>
        <w:outlineLvl w:val="2"/>
        <w:jc w:val="center"/>
      </w:pPr>
      <w:r>
        <w:rPr>
          <w:sz w:val="24"/>
        </w:rPr>
        <w:t xml:space="preserve">Структура программы ординатуры</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93"/>
        <w:gridCol w:w="4960"/>
        <w:gridCol w:w="3186"/>
      </w:tblGrid>
      <w:tr>
        <w:tc>
          <w:tcPr>
            <w:gridSpan w:val="2"/>
            <w:tcW w:w="6453" w:type="dxa"/>
          </w:tcPr>
          <w:p>
            <w:pPr>
              <w:pStyle w:val="0"/>
              <w:jc w:val="center"/>
            </w:pPr>
            <w:r>
              <w:rPr>
                <w:sz w:val="24"/>
              </w:rPr>
              <w:t xml:space="preserve">Структура программы ординатуры</w:t>
            </w:r>
          </w:p>
        </w:tc>
        <w:tc>
          <w:tcPr>
            <w:tcW w:w="3186" w:type="dxa"/>
          </w:tcPr>
          <w:p>
            <w:pPr>
              <w:pStyle w:val="0"/>
              <w:jc w:val="center"/>
            </w:pPr>
            <w:r>
              <w:rPr>
                <w:sz w:val="24"/>
              </w:rPr>
              <w:t xml:space="preserve">Объем программы ординатуры в з.е.</w:t>
            </w:r>
          </w:p>
        </w:tc>
      </w:tr>
      <w:tr>
        <w:tc>
          <w:tcPr>
            <w:tcW w:w="1493" w:type="dxa"/>
          </w:tcPr>
          <w:p>
            <w:pPr>
              <w:pStyle w:val="0"/>
            </w:pPr>
            <w:r>
              <w:rPr>
                <w:sz w:val="24"/>
              </w:rPr>
              <w:t xml:space="preserve">Блок 1</w:t>
            </w:r>
          </w:p>
        </w:tc>
        <w:tc>
          <w:tcPr>
            <w:tcW w:w="4960" w:type="dxa"/>
          </w:tcPr>
          <w:p>
            <w:pPr>
              <w:pStyle w:val="0"/>
            </w:pPr>
            <w:r>
              <w:rPr>
                <w:sz w:val="24"/>
              </w:rPr>
              <w:t xml:space="preserve">Дисциплины (модули)</w:t>
            </w:r>
          </w:p>
        </w:tc>
        <w:tc>
          <w:tcPr>
            <w:tcW w:w="3186" w:type="dxa"/>
          </w:tcPr>
          <w:p>
            <w:pPr>
              <w:pStyle w:val="0"/>
              <w:jc w:val="center"/>
            </w:pPr>
            <w:r>
              <w:rPr>
                <w:sz w:val="24"/>
              </w:rPr>
              <w:t xml:space="preserve">42 - 48</w:t>
            </w:r>
          </w:p>
        </w:tc>
      </w:tr>
      <w:tr>
        <w:tc>
          <w:tcPr>
            <w:tcW w:w="1493" w:type="dxa"/>
            <w:vMerge w:val="restart"/>
          </w:tcPr>
          <w:p>
            <w:pPr>
              <w:pStyle w:val="0"/>
            </w:pPr>
            <w:r>
              <w:rPr>
                <w:sz w:val="24"/>
              </w:rPr>
            </w:r>
          </w:p>
        </w:tc>
        <w:tc>
          <w:tcPr>
            <w:tcW w:w="4960" w:type="dxa"/>
          </w:tcPr>
          <w:p>
            <w:pPr>
              <w:pStyle w:val="0"/>
            </w:pPr>
            <w:r>
              <w:rPr>
                <w:sz w:val="24"/>
              </w:rPr>
              <w:t xml:space="preserve">Базовая часть</w:t>
            </w:r>
          </w:p>
        </w:tc>
        <w:tc>
          <w:tcPr>
            <w:tcW w:w="3186" w:type="dxa"/>
          </w:tcPr>
          <w:p>
            <w:pPr>
              <w:pStyle w:val="0"/>
              <w:jc w:val="center"/>
            </w:pPr>
            <w:r>
              <w:rPr>
                <w:sz w:val="24"/>
              </w:rPr>
              <w:t xml:space="preserve">33 - 39</w:t>
            </w:r>
          </w:p>
        </w:tc>
      </w:tr>
      <w:tr>
        <w:tc>
          <w:tcPr>
            <w:vMerge w:val="continue"/>
          </w:tcPr>
          <w:p/>
        </w:tc>
        <w:tc>
          <w:tcPr>
            <w:tcW w:w="4960" w:type="dxa"/>
          </w:tcPr>
          <w:p>
            <w:pPr>
              <w:pStyle w:val="0"/>
            </w:pPr>
            <w:r>
              <w:rPr>
                <w:sz w:val="24"/>
              </w:rPr>
              <w:t xml:space="preserve">Вариативная часть</w:t>
            </w:r>
          </w:p>
        </w:tc>
        <w:tc>
          <w:tcPr>
            <w:tcW w:w="3186" w:type="dxa"/>
          </w:tcPr>
          <w:p>
            <w:pPr>
              <w:pStyle w:val="0"/>
              <w:jc w:val="center"/>
            </w:pPr>
            <w:r>
              <w:rPr>
                <w:sz w:val="24"/>
              </w:rPr>
              <w:t xml:space="preserve">6 - 12</w:t>
            </w:r>
          </w:p>
        </w:tc>
      </w:tr>
      <w:tr>
        <w:tc>
          <w:tcPr>
            <w:tcW w:w="1493" w:type="dxa"/>
            <w:vMerge w:val="restart"/>
          </w:tcPr>
          <w:p>
            <w:pPr>
              <w:pStyle w:val="0"/>
            </w:pPr>
            <w:r>
              <w:rPr>
                <w:sz w:val="24"/>
              </w:rPr>
              <w:t xml:space="preserve">Блок 2</w:t>
            </w:r>
          </w:p>
        </w:tc>
        <w:tc>
          <w:tcPr>
            <w:tcW w:w="4960" w:type="dxa"/>
          </w:tcPr>
          <w:p>
            <w:pPr>
              <w:pStyle w:val="0"/>
            </w:pPr>
            <w:r>
              <w:rPr>
                <w:sz w:val="24"/>
              </w:rPr>
              <w:t xml:space="preserve">Практики</w:t>
            </w:r>
          </w:p>
        </w:tc>
        <w:tc>
          <w:tcPr>
            <w:tcW w:w="3186" w:type="dxa"/>
          </w:tcPr>
          <w:p>
            <w:pPr>
              <w:pStyle w:val="0"/>
              <w:jc w:val="center"/>
            </w:pPr>
            <w:r>
              <w:rPr>
                <w:sz w:val="24"/>
              </w:rPr>
              <w:t xml:space="preserve">69 - 75</w:t>
            </w:r>
          </w:p>
        </w:tc>
      </w:tr>
      <w:tr>
        <w:tc>
          <w:tcPr>
            <w:vMerge w:val="continue"/>
          </w:tcPr>
          <w:p/>
        </w:tc>
        <w:tc>
          <w:tcPr>
            <w:tcW w:w="4960" w:type="dxa"/>
          </w:tcPr>
          <w:p>
            <w:pPr>
              <w:pStyle w:val="0"/>
            </w:pPr>
            <w:r>
              <w:rPr>
                <w:sz w:val="24"/>
              </w:rPr>
              <w:t xml:space="preserve">Базовая часть</w:t>
            </w:r>
          </w:p>
        </w:tc>
        <w:tc>
          <w:tcPr>
            <w:tcW w:w="3186" w:type="dxa"/>
          </w:tcPr>
          <w:p>
            <w:pPr>
              <w:pStyle w:val="0"/>
              <w:jc w:val="center"/>
            </w:pPr>
            <w:r>
              <w:rPr>
                <w:sz w:val="24"/>
              </w:rPr>
              <w:t xml:space="preserve">60 - 66</w:t>
            </w:r>
          </w:p>
        </w:tc>
      </w:tr>
      <w:tr>
        <w:tc>
          <w:tcPr>
            <w:vMerge w:val="continue"/>
          </w:tcPr>
          <w:p/>
        </w:tc>
        <w:tc>
          <w:tcPr>
            <w:tcW w:w="4960" w:type="dxa"/>
          </w:tcPr>
          <w:p>
            <w:pPr>
              <w:pStyle w:val="0"/>
            </w:pPr>
            <w:r>
              <w:rPr>
                <w:sz w:val="24"/>
              </w:rPr>
              <w:t xml:space="preserve">Вариативная часть</w:t>
            </w:r>
          </w:p>
        </w:tc>
        <w:tc>
          <w:tcPr>
            <w:tcW w:w="3186" w:type="dxa"/>
          </w:tcPr>
          <w:p>
            <w:pPr>
              <w:pStyle w:val="0"/>
              <w:jc w:val="center"/>
            </w:pPr>
            <w:r>
              <w:rPr>
                <w:sz w:val="24"/>
              </w:rPr>
              <w:t xml:space="preserve">6 - 12</w:t>
            </w:r>
          </w:p>
        </w:tc>
      </w:tr>
      <w:tr>
        <w:tc>
          <w:tcPr>
            <w:tcW w:w="1493" w:type="dxa"/>
            <w:vMerge w:val="restart"/>
          </w:tcPr>
          <w:p>
            <w:pPr>
              <w:pStyle w:val="0"/>
            </w:pPr>
            <w:r>
              <w:rPr>
                <w:sz w:val="24"/>
              </w:rPr>
              <w:t xml:space="preserve">Блок 3</w:t>
            </w:r>
          </w:p>
        </w:tc>
        <w:tc>
          <w:tcPr>
            <w:tcW w:w="4960" w:type="dxa"/>
          </w:tcPr>
          <w:p>
            <w:pPr>
              <w:pStyle w:val="0"/>
            </w:pPr>
            <w:r>
              <w:rPr>
                <w:sz w:val="24"/>
              </w:rPr>
              <w:t xml:space="preserve">Государственная итоговая аттестация</w:t>
            </w:r>
          </w:p>
        </w:tc>
        <w:tc>
          <w:tcPr>
            <w:tcW w:w="3186" w:type="dxa"/>
          </w:tcPr>
          <w:p>
            <w:pPr>
              <w:pStyle w:val="0"/>
              <w:jc w:val="center"/>
            </w:pPr>
            <w:r>
              <w:rPr>
                <w:sz w:val="24"/>
              </w:rPr>
              <w:t xml:space="preserve">3</w:t>
            </w:r>
          </w:p>
        </w:tc>
      </w:tr>
      <w:tr>
        <w:tc>
          <w:tcPr>
            <w:vMerge w:val="continue"/>
          </w:tcPr>
          <w:p/>
        </w:tc>
        <w:tc>
          <w:tcPr>
            <w:tcW w:w="4960" w:type="dxa"/>
          </w:tcPr>
          <w:p>
            <w:pPr>
              <w:pStyle w:val="0"/>
            </w:pPr>
            <w:r>
              <w:rPr>
                <w:sz w:val="24"/>
              </w:rPr>
              <w:t xml:space="preserve">Базовая часть</w:t>
            </w:r>
          </w:p>
        </w:tc>
        <w:tc>
          <w:tcPr>
            <w:tcW w:w="3186" w:type="dxa"/>
          </w:tcPr>
          <w:p>
            <w:pPr>
              <w:pStyle w:val="0"/>
              <w:jc w:val="center"/>
            </w:pPr>
            <w:r>
              <w:rPr>
                <w:sz w:val="24"/>
              </w:rPr>
              <w:t xml:space="preserve">3</w:t>
            </w:r>
          </w:p>
        </w:tc>
      </w:tr>
      <w:tr>
        <w:tc>
          <w:tcPr>
            <w:gridSpan w:val="2"/>
            <w:tcW w:w="6453" w:type="dxa"/>
          </w:tcPr>
          <w:p>
            <w:pPr>
              <w:pStyle w:val="0"/>
            </w:pPr>
            <w:r>
              <w:rPr>
                <w:sz w:val="24"/>
              </w:rPr>
              <w:t xml:space="preserve">Объем программы ординатуры</w:t>
            </w:r>
          </w:p>
        </w:tc>
        <w:tc>
          <w:tcPr>
            <w:tcW w:w="3186"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требованиями</w:t>
        </w:r>
      </w:hyperlink>
      <w:r>
        <w:rPr>
          <w:sz w:val="24"/>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6"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4"/>
        </w:rPr>
      </w:r>
    </w:p>
    <w:p>
      <w:pPr>
        <w:pStyle w:val="0"/>
        <w:outlineLvl w:val="2"/>
        <w:ind w:firstLine="540"/>
        <w:jc w:val="both"/>
      </w:pPr>
      <w:r>
        <w:rPr>
          <w:sz w:val="24"/>
        </w:rPr>
        <w:t xml:space="preserve">7.2. Требования к кадровым условиям реализации программы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трансфузионная система, набор антидотов)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8"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1045</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EXP&amp;n=731991&amp;date=28.04.2025" TargetMode = "External"/>
	<Relationship Id="rId12" Type="http://schemas.openxmlformats.org/officeDocument/2006/relationships/hyperlink" Target="https://login.consultant.ru/link/?req=doc&amp;base=LAW&amp;n=348537&amp;date=28.04.2025" TargetMode = "External"/>
	<Relationship Id="rId13" Type="http://schemas.openxmlformats.org/officeDocument/2006/relationships/hyperlink" Target="https://login.consultant.ru/link/?req=doc&amp;base=LAW&amp;n=483355&amp;date=28.04.2025" TargetMode = "External"/>
	<Relationship Id="rId14" Type="http://schemas.openxmlformats.org/officeDocument/2006/relationships/hyperlink" Target="https://login.consultant.ru/link/?req=doc&amp;base=LAW&amp;n=482686&amp;date=28.04.2025" TargetMode = "External"/>
	<Relationship Id="rId15" Type="http://schemas.openxmlformats.org/officeDocument/2006/relationships/hyperlink" Target="https://login.consultant.ru/link/?req=doc&amp;base=LAW&amp;n=128754&amp;date=28.04.2025&amp;dst=100009&amp;field=134" TargetMode = "External"/>
	<Relationship Id="rId16" Type="http://schemas.openxmlformats.org/officeDocument/2006/relationships/hyperlink" Target="https://login.consultant.ru/link/?req=doc&amp;base=LAW&amp;n=440481&amp;date=28.04.2025&amp;dst=100010&amp;field=134" TargetMode = "External"/>
	<Relationship Id="rId17" Type="http://schemas.openxmlformats.org/officeDocument/2006/relationships/hyperlink" Target="https://login.consultant.ru/link/?req=doc&amp;base=LAW&amp;n=128754&amp;date=28.04.2025" TargetMode = "External"/>
	<Relationship Id="rId18"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1045
"Об утверждении федерального государственного образовательного стандарта высшего образования по специальности 31.08.03 Токсикология (уровень подготовки кадров высшей квалификации)"
(Зарегистрировано в Минюсте России 28.10.2014 N 34486)</dc:title>
  <dcterms:created xsi:type="dcterms:W3CDTF">2025-04-28T03:33:44Z</dcterms:created>
</cp:coreProperties>
</file>